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9425AC" w:rsidRDefault="00030DCC" w:rsidP="00030DCC">
      <w:pPr>
        <w:spacing w:line="480" w:lineRule="auto"/>
        <w:jc w:val="center"/>
        <w:rPr>
          <w:rFonts w:ascii="Times New Roman" w:hAnsi="Times New Roman" w:cs="Times New Roman"/>
          <w:sz w:val="24"/>
          <w:szCs w:val="24"/>
        </w:rPr>
      </w:pPr>
      <w:r>
        <w:rPr>
          <w:rFonts w:ascii="Times New Roman" w:hAnsi="Times New Roman" w:cs="Times New Roman"/>
          <w:sz w:val="24"/>
          <w:szCs w:val="24"/>
        </w:rPr>
        <w:t>Child’s Learning and Development</w:t>
      </w: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820A4" w:rsidRDefault="00F820A4" w:rsidP="00030DC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w:t>
      </w:r>
    </w:p>
    <w:p w:rsidR="00F820A4" w:rsidRDefault="00F820A4" w:rsidP="00030DC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030DCC">
      <w:pPr>
        <w:spacing w:line="480" w:lineRule="auto"/>
        <w:jc w:val="center"/>
        <w:rPr>
          <w:rFonts w:ascii="Times New Roman" w:hAnsi="Times New Roman" w:cs="Times New Roman"/>
          <w:sz w:val="24"/>
          <w:szCs w:val="24"/>
        </w:rPr>
      </w:pPr>
    </w:p>
    <w:p w:rsidR="00F820A4" w:rsidRDefault="00F820A4" w:rsidP="00F820A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Child’s Learning and Development</w:t>
      </w:r>
    </w:p>
    <w:p w:rsidR="00DF2220" w:rsidRPr="00DF2220" w:rsidRDefault="00DF2220" w:rsidP="00030DCC">
      <w:pPr>
        <w:spacing w:line="480" w:lineRule="auto"/>
        <w:rPr>
          <w:rFonts w:ascii="Times New Roman" w:hAnsi="Times New Roman" w:cs="Times New Roman"/>
          <w:b/>
          <w:sz w:val="24"/>
          <w:szCs w:val="24"/>
        </w:rPr>
      </w:pPr>
      <w:r w:rsidRPr="00DF2220">
        <w:rPr>
          <w:rFonts w:ascii="Times New Roman" w:hAnsi="Times New Roman" w:cs="Times New Roman"/>
          <w:b/>
          <w:sz w:val="24"/>
          <w:szCs w:val="24"/>
        </w:rPr>
        <w:t>Assignment I</w:t>
      </w:r>
    </w:p>
    <w:p w:rsidR="00030DCC" w:rsidRPr="00DF2220" w:rsidRDefault="00030DCC" w:rsidP="00DF2220">
      <w:pPr>
        <w:spacing w:line="480" w:lineRule="auto"/>
        <w:jc w:val="center"/>
        <w:rPr>
          <w:rFonts w:ascii="Times New Roman" w:hAnsi="Times New Roman" w:cs="Times New Roman"/>
          <w:b/>
          <w:sz w:val="24"/>
          <w:szCs w:val="24"/>
        </w:rPr>
      </w:pPr>
      <w:r w:rsidRPr="00DF2220">
        <w:rPr>
          <w:rFonts w:ascii="Times New Roman" w:hAnsi="Times New Roman" w:cs="Times New Roman"/>
          <w:b/>
          <w:sz w:val="24"/>
          <w:szCs w:val="24"/>
        </w:rPr>
        <w:t>Theoretical Perspectives</w:t>
      </w:r>
    </w:p>
    <w:p w:rsidR="00855D0F" w:rsidRDefault="00030DCC" w:rsidP="00030DC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Theoretical perspectives of development provide a background for reflecting about human learning and growth. A number of child theories are often referred as ground theories because they make an attempt of recognizing and describe most aspects of </w:t>
      </w:r>
      <w:proofErr w:type="gramStart"/>
      <w:r>
        <w:rPr>
          <w:rFonts w:ascii="Times New Roman" w:hAnsi="Times New Roman" w:cs="Times New Roman"/>
          <w:sz w:val="24"/>
          <w:szCs w:val="24"/>
        </w:rPr>
        <w:t>development</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 xml:space="preserve"> (</w:t>
      </w:r>
      <w:proofErr w:type="spellStart"/>
      <w:proofErr w:type="gramEnd"/>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Pr>
          <w:rFonts w:ascii="Times New Roman" w:hAnsi="Times New Roman" w:cs="Times New Roman"/>
          <w:sz w:val="24"/>
          <w:szCs w:val="24"/>
        </w:rPr>
        <w:t>. These grand theories use a stage methodology while on the other hand, mini-theories lay more attention on limited aspects of child development comprising of social and cognitive growth</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(Frank, 2016)</w:t>
      </w:r>
      <w:r>
        <w:rPr>
          <w:rFonts w:ascii="Times New Roman" w:hAnsi="Times New Roman" w:cs="Times New Roman"/>
          <w:sz w:val="24"/>
          <w:szCs w:val="24"/>
        </w:rPr>
        <w:t xml:space="preserve">. For instance, Feud’s psychosexual theory is seen through a series of child development observed on Hinemoa. According to Feud, </w:t>
      </w:r>
      <w:r w:rsidR="00F820A4">
        <w:rPr>
          <w:rFonts w:ascii="Times New Roman" w:hAnsi="Times New Roman" w:cs="Times New Roman"/>
          <w:sz w:val="24"/>
          <w:szCs w:val="24"/>
        </w:rPr>
        <w:t xml:space="preserve">child development stages observed through one’s pleasure areas in the body. This occurs when children happenstances conflicts, which are associated with development. Hinemoa’s energy levels are observed through different zones during the course of her development. </w:t>
      </w:r>
      <w:r w:rsidR="004F35CC">
        <w:rPr>
          <w:rFonts w:ascii="Times New Roman" w:hAnsi="Times New Roman" w:cs="Times New Roman"/>
          <w:sz w:val="24"/>
          <w:szCs w:val="24"/>
        </w:rPr>
        <w:t xml:space="preserve">Failure to do so, makes a child to stay fixated at certain stages, which Feud argues may affect the adult behavior of the child.  </w:t>
      </w:r>
    </w:p>
    <w:p w:rsidR="00110969" w:rsidRDefault="00855D0F" w:rsidP="009555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Erikson’s 8-stage theory deals with the psychosocial development of a child attempting to describe change and growth in the life of a child. This theory pays more attention to the social conflicts and interactions that occur at different stages of development of a </w:t>
      </w:r>
      <w:r w:rsidR="00206956">
        <w:rPr>
          <w:rFonts w:ascii="Times New Roman" w:hAnsi="Times New Roman" w:cs="Times New Roman"/>
          <w:sz w:val="24"/>
          <w:szCs w:val="24"/>
        </w:rPr>
        <w:t>child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Pr>
          <w:rFonts w:ascii="Times New Roman" w:hAnsi="Times New Roman" w:cs="Times New Roman"/>
          <w:sz w:val="24"/>
          <w:szCs w:val="24"/>
        </w:rPr>
        <w:t>.</w:t>
      </w:r>
      <w:r w:rsidR="00AF634A">
        <w:rPr>
          <w:rFonts w:ascii="Times New Roman" w:hAnsi="Times New Roman" w:cs="Times New Roman"/>
          <w:sz w:val="24"/>
          <w:szCs w:val="24"/>
        </w:rPr>
        <w:t xml:space="preserve"> After showing interests to creatures, </w:t>
      </w:r>
      <w:r w:rsidR="00955513">
        <w:rPr>
          <w:rFonts w:ascii="Times New Roman" w:hAnsi="Times New Roman" w:cs="Times New Roman"/>
          <w:sz w:val="24"/>
          <w:szCs w:val="24"/>
        </w:rPr>
        <w:t>Hinemoa</w:t>
      </w:r>
      <w:r w:rsidR="00955513">
        <w:rPr>
          <w:rFonts w:ascii="Times New Roman" w:hAnsi="Times New Roman" w:cs="Times New Roman"/>
          <w:sz w:val="24"/>
          <w:szCs w:val="24"/>
        </w:rPr>
        <w:t xml:space="preserve"> </w:t>
      </w:r>
      <w:r w:rsidR="00AF634A">
        <w:rPr>
          <w:rFonts w:ascii="Times New Roman" w:hAnsi="Times New Roman" w:cs="Times New Roman"/>
          <w:sz w:val="24"/>
          <w:szCs w:val="24"/>
        </w:rPr>
        <w:t xml:space="preserve">learned more about them from her teacher and later went ahead to get more information from the internet. Instead of focusing on children’s sexual interests as emphasized by Feud’s theory, social experience and interaction are emphasized through Erikson’s </w:t>
      </w:r>
      <w:r w:rsidR="00206956">
        <w:rPr>
          <w:rFonts w:ascii="Times New Roman" w:hAnsi="Times New Roman" w:cs="Times New Roman"/>
          <w:sz w:val="24"/>
          <w:szCs w:val="24"/>
        </w:rPr>
        <w:t>theory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sidR="00AF634A">
        <w:rPr>
          <w:rFonts w:ascii="Times New Roman" w:hAnsi="Times New Roman" w:cs="Times New Roman"/>
          <w:sz w:val="24"/>
          <w:szCs w:val="24"/>
        </w:rPr>
        <w:t xml:space="preserve">. The eight-stage theory of child development is observed from infancy to death, whereby, in each stage, conflicts that affect later </w:t>
      </w:r>
      <w:r w:rsidR="00AF634A">
        <w:rPr>
          <w:rFonts w:ascii="Times New Roman" w:hAnsi="Times New Roman" w:cs="Times New Roman"/>
          <w:sz w:val="24"/>
          <w:szCs w:val="24"/>
        </w:rPr>
        <w:lastRenderedPageBreak/>
        <w:t>further growth and functioning occur</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 xml:space="preserve">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sidR="00AF634A">
        <w:rPr>
          <w:rFonts w:ascii="Times New Roman" w:hAnsi="Times New Roman" w:cs="Times New Roman"/>
          <w:sz w:val="24"/>
          <w:szCs w:val="24"/>
        </w:rPr>
        <w:t xml:space="preserve">. </w:t>
      </w:r>
      <w:r w:rsidR="001F32E7">
        <w:rPr>
          <w:rFonts w:ascii="Times New Roman" w:hAnsi="Times New Roman" w:cs="Times New Roman"/>
          <w:sz w:val="24"/>
          <w:szCs w:val="24"/>
        </w:rPr>
        <w:t>Piaget’s cognitive developmental theory focuses on a child’s cognitive development through thought processes. The theory describes how thought processes affect how human beings interact and understand the world</w:t>
      </w:r>
      <w:r w:rsidR="00955513">
        <w:rPr>
          <w:rFonts w:ascii="Times New Roman" w:hAnsi="Times New Roman" w:cs="Times New Roman"/>
          <w:sz w:val="24"/>
          <w:szCs w:val="24"/>
        </w:rPr>
        <w:t xml:space="preserve">, which is observed in </w:t>
      </w:r>
      <w:r w:rsidR="00955513">
        <w:rPr>
          <w:rFonts w:ascii="Times New Roman" w:hAnsi="Times New Roman" w:cs="Times New Roman"/>
          <w:sz w:val="24"/>
          <w:szCs w:val="24"/>
        </w:rPr>
        <w:t>Hinemoa</w:t>
      </w:r>
      <w:r w:rsidR="00955513">
        <w:rPr>
          <w:rFonts w:ascii="Times New Roman" w:hAnsi="Times New Roman" w:cs="Times New Roman"/>
          <w:sz w:val="24"/>
          <w:szCs w:val="24"/>
        </w:rPr>
        <w:t xml:space="preserve"> and creatures</w:t>
      </w:r>
      <w:r w:rsidR="001F32E7">
        <w:rPr>
          <w:rFonts w:ascii="Times New Roman" w:hAnsi="Times New Roman" w:cs="Times New Roman"/>
          <w:sz w:val="24"/>
          <w:szCs w:val="24"/>
        </w:rPr>
        <w:t xml:space="preserve">. </w:t>
      </w:r>
    </w:p>
    <w:p w:rsidR="00797D7C" w:rsidRPr="00DF2220" w:rsidRDefault="00797D7C" w:rsidP="00DF2220">
      <w:pPr>
        <w:spacing w:line="480" w:lineRule="auto"/>
        <w:ind w:firstLine="720"/>
        <w:jc w:val="center"/>
        <w:rPr>
          <w:rFonts w:ascii="Times New Roman" w:hAnsi="Times New Roman" w:cs="Times New Roman"/>
          <w:b/>
          <w:sz w:val="24"/>
          <w:szCs w:val="24"/>
        </w:rPr>
      </w:pPr>
      <w:r w:rsidRPr="00DF2220">
        <w:rPr>
          <w:rFonts w:ascii="Times New Roman" w:hAnsi="Times New Roman" w:cs="Times New Roman"/>
          <w:b/>
          <w:sz w:val="24"/>
          <w:szCs w:val="24"/>
        </w:rPr>
        <w:t>Pedagogical Knowledge</w:t>
      </w:r>
    </w:p>
    <w:p w:rsidR="00797D7C" w:rsidRDefault="00797D7C" w:rsidP="0095551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Pedagogical knowledge describes various features that expert teachers need to </w:t>
      </w:r>
      <w:r w:rsidR="00DF2220">
        <w:rPr>
          <w:rFonts w:ascii="Times New Roman" w:hAnsi="Times New Roman" w:cs="Times New Roman"/>
          <w:sz w:val="24"/>
          <w:szCs w:val="24"/>
        </w:rPr>
        <w:t xml:space="preserve">exhibit, including better problem solving approaches, pedagogical content knowledge, better decision making, and greater sensitivity to content among others. Angela the teacher exhibits the knowledge regarding mammals and reptiles, which she shares with her pupil. Stressing assimilating academic knowledge is a critical element of pedagogical knowledge alongside the effectiveness of incorporating practical and experimental experiences during learning activities. Research suggests that variations in learning opportunities during planning are directly associated with student </w:t>
      </w:r>
      <w:r w:rsidR="00206956">
        <w:rPr>
          <w:rFonts w:ascii="Times New Roman" w:hAnsi="Times New Roman" w:cs="Times New Roman"/>
          <w:sz w:val="24"/>
          <w:szCs w:val="24"/>
        </w:rPr>
        <w:t>achievement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sidR="00DF2220">
        <w:rPr>
          <w:rFonts w:ascii="Times New Roman" w:hAnsi="Times New Roman" w:cs="Times New Roman"/>
          <w:sz w:val="24"/>
          <w:szCs w:val="24"/>
        </w:rPr>
        <w:t xml:space="preserve">. The teacher further demonstrates that professional competences and teacher professionalism require more than skills, knowledge because motivation and attitude variations are necessary. </w:t>
      </w:r>
      <w:r w:rsidR="001106C0">
        <w:rPr>
          <w:rFonts w:ascii="Times New Roman" w:hAnsi="Times New Roman" w:cs="Times New Roman"/>
          <w:sz w:val="24"/>
          <w:szCs w:val="24"/>
        </w:rPr>
        <w:t>Analyzing teacher knowledge as specialists requires learning and understanding how their knowledge functions during learning activities</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(Farguhar, 2019)</w:t>
      </w:r>
      <w:r w:rsidR="001106C0">
        <w:rPr>
          <w:rFonts w:ascii="Times New Roman" w:hAnsi="Times New Roman" w:cs="Times New Roman"/>
          <w:sz w:val="24"/>
          <w:szCs w:val="24"/>
        </w:rPr>
        <w:t xml:space="preserve">. The teacher is able to apply the knowledge of creatures to the child through effective decision-making processes where she makes on-the-spot role of discharging her knowledge about the creatures to the child.   </w:t>
      </w:r>
      <w:r w:rsidR="00DF2220">
        <w:rPr>
          <w:rFonts w:ascii="Times New Roman" w:hAnsi="Times New Roman" w:cs="Times New Roman"/>
          <w:sz w:val="24"/>
          <w:szCs w:val="24"/>
        </w:rPr>
        <w:t xml:space="preserve">   </w:t>
      </w:r>
    </w:p>
    <w:p w:rsidR="00110969" w:rsidRPr="001106C0" w:rsidRDefault="00110969" w:rsidP="00110969">
      <w:pPr>
        <w:spacing w:line="480" w:lineRule="auto"/>
        <w:ind w:firstLine="720"/>
        <w:jc w:val="center"/>
        <w:rPr>
          <w:rFonts w:ascii="Times New Roman" w:hAnsi="Times New Roman" w:cs="Times New Roman"/>
          <w:b/>
          <w:sz w:val="24"/>
          <w:szCs w:val="24"/>
        </w:rPr>
      </w:pPr>
      <w:r w:rsidRPr="001106C0">
        <w:rPr>
          <w:rFonts w:ascii="Times New Roman" w:hAnsi="Times New Roman" w:cs="Times New Roman"/>
          <w:b/>
          <w:sz w:val="24"/>
          <w:szCs w:val="24"/>
        </w:rPr>
        <w:t>Teaching Approaches</w:t>
      </w:r>
    </w:p>
    <w:p w:rsidR="001106C0" w:rsidRDefault="001106C0" w:rsidP="001106C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Most frameworks of Early Child Development draw upon different methods and theories with the aim of challenging traditional methods used to view children. </w:t>
      </w:r>
      <w:r w:rsidR="00B635FD">
        <w:rPr>
          <w:rFonts w:ascii="Times New Roman" w:hAnsi="Times New Roman" w:cs="Times New Roman"/>
          <w:sz w:val="24"/>
          <w:szCs w:val="24"/>
        </w:rPr>
        <w:t xml:space="preserve">The Reggie Emilia </w:t>
      </w:r>
      <w:r w:rsidR="00B635FD">
        <w:rPr>
          <w:rFonts w:ascii="Times New Roman" w:hAnsi="Times New Roman" w:cs="Times New Roman"/>
          <w:sz w:val="24"/>
          <w:szCs w:val="24"/>
        </w:rPr>
        <w:lastRenderedPageBreak/>
        <w:t xml:space="preserve">teaching strategy is a popular teaching approach that describes many communication strategies employed by children throughout their </w:t>
      </w:r>
      <w:r w:rsidR="00206956">
        <w:rPr>
          <w:rFonts w:ascii="Times New Roman" w:hAnsi="Times New Roman" w:cs="Times New Roman"/>
          <w:sz w:val="24"/>
          <w:szCs w:val="24"/>
        </w:rPr>
        <w:t>development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sidR="00B635FD">
        <w:rPr>
          <w:rFonts w:ascii="Times New Roman" w:hAnsi="Times New Roman" w:cs="Times New Roman"/>
          <w:sz w:val="24"/>
          <w:szCs w:val="24"/>
        </w:rPr>
        <w:t xml:space="preserve">. For instance, after collecting the creatures, </w:t>
      </w:r>
      <w:r w:rsidR="00B635FD">
        <w:rPr>
          <w:rFonts w:ascii="Times New Roman" w:hAnsi="Times New Roman" w:cs="Times New Roman"/>
          <w:sz w:val="24"/>
          <w:szCs w:val="24"/>
        </w:rPr>
        <w:t>Hinemoa</w:t>
      </w:r>
      <w:r w:rsidR="00B635FD">
        <w:rPr>
          <w:rFonts w:ascii="Times New Roman" w:hAnsi="Times New Roman" w:cs="Times New Roman"/>
          <w:sz w:val="24"/>
          <w:szCs w:val="24"/>
        </w:rPr>
        <w:t xml:space="preserve"> communicated about them in various ways such as drawing, recording them and hoping to write about them. </w:t>
      </w:r>
      <w:r w:rsidR="00B635FD">
        <w:rPr>
          <w:rFonts w:ascii="Times New Roman" w:hAnsi="Times New Roman" w:cs="Times New Roman"/>
          <w:sz w:val="24"/>
          <w:szCs w:val="24"/>
        </w:rPr>
        <w:t>Reggie Emilia teaching strategy</w:t>
      </w:r>
      <w:r w:rsidR="00B635FD">
        <w:rPr>
          <w:rFonts w:ascii="Times New Roman" w:hAnsi="Times New Roman" w:cs="Times New Roman"/>
          <w:sz w:val="24"/>
          <w:szCs w:val="24"/>
        </w:rPr>
        <w:t xml:space="preserve"> supports naturally found materials to use for learning purposes.   </w:t>
      </w:r>
    </w:p>
    <w:p w:rsidR="00B635FD" w:rsidRDefault="00B635FD" w:rsidP="001106C0">
      <w:pPr>
        <w:spacing w:line="480" w:lineRule="auto"/>
        <w:ind w:firstLine="720"/>
        <w:rPr>
          <w:rFonts w:ascii="Times New Roman" w:hAnsi="Times New Roman" w:cs="Times New Roman"/>
          <w:sz w:val="24"/>
          <w:szCs w:val="24"/>
        </w:rPr>
      </w:pPr>
      <w:r>
        <w:rPr>
          <w:rFonts w:ascii="Times New Roman" w:hAnsi="Times New Roman" w:cs="Times New Roman"/>
          <w:sz w:val="24"/>
          <w:szCs w:val="24"/>
        </w:rPr>
        <w:t>On the other hand, Jesome Bruner’s teaching Strategy</w:t>
      </w:r>
      <w:r w:rsidR="004F2291">
        <w:rPr>
          <w:rFonts w:ascii="Times New Roman" w:hAnsi="Times New Roman" w:cs="Times New Roman"/>
          <w:sz w:val="24"/>
          <w:szCs w:val="24"/>
        </w:rPr>
        <w:t xml:space="preserve"> views a child as an active learner who is able to construct individual knowledge about the world. </w:t>
      </w:r>
      <w:r w:rsidR="00B82C53">
        <w:rPr>
          <w:rFonts w:ascii="Times New Roman" w:hAnsi="Times New Roman" w:cs="Times New Roman"/>
          <w:sz w:val="24"/>
          <w:szCs w:val="24"/>
        </w:rPr>
        <w:t>The child placed the shark and penguin in water while other creatures were placed on a rock claiming that all the creatures that came from the eggs should be placed in water. The Bruner’s strategy argues that all children are resourceful, capable and constructors of their individual knowledge. More importantly, the case study emphasizes that all children require educators’ support while beginning to learn new knowledge or concepts</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(Frank, 2016)</w:t>
      </w:r>
      <w:r w:rsidR="00B82C53">
        <w:rPr>
          <w:rFonts w:ascii="Times New Roman" w:hAnsi="Times New Roman" w:cs="Times New Roman"/>
          <w:sz w:val="24"/>
          <w:szCs w:val="24"/>
        </w:rPr>
        <w:t xml:space="preserve">. </w:t>
      </w:r>
      <w:r w:rsidR="003F58ED">
        <w:rPr>
          <w:rFonts w:ascii="Times New Roman" w:hAnsi="Times New Roman" w:cs="Times New Roman"/>
          <w:sz w:val="24"/>
          <w:szCs w:val="24"/>
        </w:rPr>
        <w:t xml:space="preserve">Nonetheless, the concept believes that educators’ support tends to fade gradually as children acquire new knowledge and skills. </w:t>
      </w:r>
      <w:r w:rsidR="00B82C5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104BB" w:rsidRPr="008104BB" w:rsidRDefault="008104BB" w:rsidP="008104BB">
      <w:pPr>
        <w:spacing w:line="480" w:lineRule="auto"/>
        <w:rPr>
          <w:rFonts w:ascii="Times New Roman" w:hAnsi="Times New Roman" w:cs="Times New Roman"/>
          <w:b/>
          <w:sz w:val="24"/>
          <w:szCs w:val="24"/>
        </w:rPr>
      </w:pPr>
      <w:r w:rsidRPr="008104BB">
        <w:rPr>
          <w:rFonts w:ascii="Times New Roman" w:hAnsi="Times New Roman" w:cs="Times New Roman"/>
          <w:b/>
          <w:sz w:val="24"/>
          <w:szCs w:val="24"/>
        </w:rPr>
        <w:t>Assignment II</w:t>
      </w:r>
    </w:p>
    <w:p w:rsidR="004F35CC" w:rsidRPr="008104BB" w:rsidRDefault="00285A89" w:rsidP="00285A89">
      <w:pPr>
        <w:spacing w:line="480" w:lineRule="auto"/>
        <w:ind w:firstLine="720"/>
        <w:jc w:val="center"/>
        <w:rPr>
          <w:rFonts w:ascii="Times New Roman" w:hAnsi="Times New Roman" w:cs="Times New Roman"/>
          <w:b/>
          <w:sz w:val="24"/>
          <w:szCs w:val="24"/>
        </w:rPr>
      </w:pPr>
      <w:r w:rsidRPr="008104BB">
        <w:rPr>
          <w:rFonts w:ascii="Times New Roman" w:hAnsi="Times New Roman" w:cs="Times New Roman"/>
          <w:b/>
          <w:sz w:val="24"/>
          <w:szCs w:val="24"/>
        </w:rPr>
        <w:t xml:space="preserve">Education </w:t>
      </w:r>
      <w:r w:rsidR="008104BB" w:rsidRPr="008104BB">
        <w:rPr>
          <w:rFonts w:ascii="Times New Roman" w:hAnsi="Times New Roman" w:cs="Times New Roman"/>
          <w:b/>
          <w:sz w:val="24"/>
          <w:szCs w:val="24"/>
        </w:rPr>
        <w:t>for</w:t>
      </w:r>
      <w:r w:rsidRPr="008104BB">
        <w:rPr>
          <w:rFonts w:ascii="Times New Roman" w:hAnsi="Times New Roman" w:cs="Times New Roman"/>
          <w:b/>
          <w:sz w:val="24"/>
          <w:szCs w:val="24"/>
        </w:rPr>
        <w:t xml:space="preserve"> Sustainability</w:t>
      </w:r>
    </w:p>
    <w:p w:rsidR="00E45ABE" w:rsidRDefault="008104BB" w:rsidP="008104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Education for sustainability involve all paradigms used in education to think about a future through which economic, social and environmental considerations are in balance. All these should be applied in an integrated curriculum that pursues an improved quality and development of human </w:t>
      </w:r>
      <w:r w:rsidR="00206956">
        <w:rPr>
          <w:rFonts w:ascii="Times New Roman" w:hAnsi="Times New Roman" w:cs="Times New Roman"/>
          <w:sz w:val="24"/>
          <w:szCs w:val="24"/>
        </w:rPr>
        <w:t>life (</w:t>
      </w:r>
      <w:proofErr w:type="spellStart"/>
      <w:r w:rsidR="00206956">
        <w:rPr>
          <w:rFonts w:ascii="Times New Roman" w:hAnsi="Times New Roman" w:cs="Times New Roman"/>
          <w:sz w:val="24"/>
          <w:szCs w:val="24"/>
        </w:rPr>
        <w:t>Whariki</w:t>
      </w:r>
      <w:proofErr w:type="spellEnd"/>
      <w:r w:rsidR="00206956">
        <w:rPr>
          <w:rFonts w:ascii="Times New Roman" w:hAnsi="Times New Roman" w:cs="Times New Roman"/>
          <w:sz w:val="24"/>
          <w:szCs w:val="24"/>
        </w:rPr>
        <w:t>, 2017)</w:t>
      </w:r>
      <w:r>
        <w:rPr>
          <w:rFonts w:ascii="Times New Roman" w:hAnsi="Times New Roman" w:cs="Times New Roman"/>
          <w:sz w:val="24"/>
          <w:szCs w:val="24"/>
        </w:rPr>
        <w:t>.</w:t>
      </w:r>
      <w:r w:rsidR="00BE5EE8">
        <w:rPr>
          <w:rFonts w:ascii="Times New Roman" w:hAnsi="Times New Roman" w:cs="Times New Roman"/>
          <w:sz w:val="24"/>
          <w:szCs w:val="24"/>
        </w:rPr>
        <w:t xml:space="preserve"> Today, any prosperous country depends on a sustained healthy environment that is capable to provide resources and food, clean air and drinking water for the citizens.</w:t>
      </w:r>
      <w:r w:rsidR="003849E5">
        <w:rPr>
          <w:rFonts w:ascii="Times New Roman" w:hAnsi="Times New Roman" w:cs="Times New Roman"/>
          <w:sz w:val="24"/>
          <w:szCs w:val="24"/>
        </w:rPr>
        <w:t xml:space="preserve"> An effective education for sustainability needs to consider the elements of economy, society, environment, sustainability as well as the underlying cultural </w:t>
      </w:r>
      <w:r w:rsidR="00206956">
        <w:rPr>
          <w:rFonts w:ascii="Times New Roman" w:hAnsi="Times New Roman" w:cs="Times New Roman"/>
          <w:sz w:val="24"/>
          <w:szCs w:val="24"/>
        </w:rPr>
        <w:lastRenderedPageBreak/>
        <w:t xml:space="preserve">dimensions </w:t>
      </w:r>
      <w:r w:rsidR="00206956">
        <w:rPr>
          <w:rFonts w:ascii="Times New Roman" w:hAnsi="Times New Roman" w:cs="Times New Roman"/>
          <w:sz w:val="24"/>
          <w:szCs w:val="24"/>
        </w:rPr>
        <w:t>(Farguhar, 2019)</w:t>
      </w:r>
      <w:r w:rsidR="003849E5">
        <w:rPr>
          <w:rFonts w:ascii="Times New Roman" w:hAnsi="Times New Roman" w:cs="Times New Roman"/>
          <w:sz w:val="24"/>
          <w:szCs w:val="24"/>
        </w:rPr>
        <w:t xml:space="preserve">. The principles and ideals that inspire the concept of sustainability comprises of social justice, poverty reduction, peace, tolerance, natural resource conservation and environmental preservation. </w:t>
      </w:r>
    </w:p>
    <w:p w:rsidR="00E45ABE" w:rsidRDefault="00E45ABE" w:rsidP="008104B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support learning and awareness of children, there is a need to incorporate several pedagogical strategies. Knowledge of teaching methodologies is a key strategy that aims to enhance teachers’ knowledge and command of teaching strategies, including the knowledge of when and to apply them in learning settings</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(Frank, 2016)</w:t>
      </w:r>
      <w:r>
        <w:rPr>
          <w:rFonts w:ascii="Times New Roman" w:hAnsi="Times New Roman" w:cs="Times New Roman"/>
          <w:sz w:val="24"/>
          <w:szCs w:val="24"/>
        </w:rPr>
        <w:t>. This is supported by teacher’s knowledge of class assessment and being aware of various forms and goals of summative and formative assessment, and how child awareness is motivated by various frames of references. Effective teaching approaches such as learning lesson processes, objectives, planning and evaluations. This enhances their understanding on how to cope with heterogeneous groups of learning within their learning environments</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(Frank, 2016)</w:t>
      </w:r>
      <w:r>
        <w:rPr>
          <w:rFonts w:ascii="Times New Roman" w:hAnsi="Times New Roman" w:cs="Times New Roman"/>
          <w:sz w:val="24"/>
          <w:szCs w:val="24"/>
        </w:rPr>
        <w:t>. Nonetheless, education for sustainability emphasizes the need for both civil societies, individuals and governments</w:t>
      </w:r>
      <w:r w:rsidR="0065201A">
        <w:rPr>
          <w:rFonts w:ascii="Times New Roman" w:hAnsi="Times New Roman" w:cs="Times New Roman"/>
          <w:sz w:val="24"/>
          <w:szCs w:val="24"/>
        </w:rPr>
        <w:t xml:space="preserve"> to hold the role and responsibility of enhancing a sustainable future for learners.</w:t>
      </w:r>
      <w:r w:rsidR="00652984">
        <w:rPr>
          <w:rFonts w:ascii="Times New Roman" w:hAnsi="Times New Roman" w:cs="Times New Roman"/>
          <w:sz w:val="24"/>
          <w:szCs w:val="24"/>
        </w:rPr>
        <w:t xml:space="preserve"> The main reason being that education is a critical ingredient for promote a more sustainable future by preparing leaders, professionals, workers, voters and citizens for life-long learning. </w:t>
      </w:r>
      <w:r w:rsidR="0065201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E029F" w:rsidRPr="008E029F" w:rsidRDefault="008E029F" w:rsidP="008E029F">
      <w:pPr>
        <w:spacing w:line="480" w:lineRule="auto"/>
        <w:rPr>
          <w:rFonts w:ascii="Times New Roman" w:hAnsi="Times New Roman" w:cs="Times New Roman"/>
          <w:b/>
          <w:sz w:val="24"/>
          <w:szCs w:val="24"/>
        </w:rPr>
      </w:pPr>
      <w:r w:rsidRPr="008E029F">
        <w:rPr>
          <w:rFonts w:ascii="Times New Roman" w:hAnsi="Times New Roman" w:cs="Times New Roman"/>
          <w:b/>
          <w:sz w:val="24"/>
          <w:szCs w:val="24"/>
        </w:rPr>
        <w:t>Assignment III</w:t>
      </w:r>
    </w:p>
    <w:p w:rsidR="000130A1" w:rsidRPr="000546CF" w:rsidRDefault="000130A1" w:rsidP="008104BB">
      <w:pPr>
        <w:spacing w:line="480" w:lineRule="auto"/>
        <w:ind w:firstLine="720"/>
        <w:rPr>
          <w:rFonts w:ascii="Times New Roman" w:hAnsi="Times New Roman" w:cs="Times New Roman"/>
          <w:b/>
          <w:sz w:val="24"/>
          <w:szCs w:val="24"/>
        </w:rPr>
      </w:pPr>
      <w:r w:rsidRPr="000546CF">
        <w:rPr>
          <w:rFonts w:ascii="Times New Roman" w:hAnsi="Times New Roman" w:cs="Times New Roman"/>
          <w:b/>
          <w:sz w:val="24"/>
          <w:szCs w:val="24"/>
        </w:rPr>
        <w:t>Mathematics, Science, Technology and Information Communication T</w:t>
      </w:r>
      <w:r w:rsidRPr="000546CF">
        <w:rPr>
          <w:rFonts w:ascii="Times New Roman" w:hAnsi="Times New Roman" w:cs="Times New Roman"/>
          <w:b/>
          <w:sz w:val="24"/>
          <w:szCs w:val="24"/>
        </w:rPr>
        <w:t>echnology</w:t>
      </w:r>
    </w:p>
    <w:p w:rsidR="003242FF" w:rsidRDefault="003242FF" w:rsidP="00F5131B">
      <w:pPr>
        <w:spacing w:line="480" w:lineRule="auto"/>
        <w:ind w:firstLine="720"/>
        <w:rPr>
          <w:rFonts w:ascii="Times New Roman" w:hAnsi="Times New Roman" w:cs="Times New Roman"/>
          <w:sz w:val="24"/>
          <w:szCs w:val="24"/>
        </w:rPr>
      </w:pPr>
      <w:r>
        <w:rPr>
          <w:rFonts w:ascii="Times New Roman" w:hAnsi="Times New Roman" w:cs="Times New Roman"/>
          <w:sz w:val="24"/>
          <w:szCs w:val="24"/>
        </w:rPr>
        <w:t>Each individual child is endowed with a unique journey that is conveyed by the eagerness of learning from birth.</w:t>
      </w:r>
      <w:r w:rsidR="000546CF">
        <w:rPr>
          <w:rFonts w:ascii="Times New Roman" w:hAnsi="Times New Roman" w:cs="Times New Roman"/>
          <w:sz w:val="24"/>
          <w:szCs w:val="24"/>
        </w:rPr>
        <w:t xml:space="preserve"> </w:t>
      </w:r>
      <w:proofErr w:type="spellStart"/>
      <w:r w:rsidR="000546CF">
        <w:rPr>
          <w:rFonts w:ascii="Times New Roman" w:hAnsi="Times New Roman" w:cs="Times New Roman"/>
          <w:sz w:val="24"/>
          <w:szCs w:val="24"/>
        </w:rPr>
        <w:t>Whariki</w:t>
      </w:r>
      <w:proofErr w:type="spellEnd"/>
      <w:r w:rsidR="000546CF">
        <w:rPr>
          <w:rFonts w:ascii="Times New Roman" w:hAnsi="Times New Roman" w:cs="Times New Roman"/>
          <w:sz w:val="24"/>
          <w:szCs w:val="24"/>
        </w:rPr>
        <w:t xml:space="preserve"> (2017) argues that children are confident and competent communicators and learners, healthy in spirit, body and mind. Further, they are secure in their individual sense of belonging with the knowledge</w:t>
      </w:r>
      <w:r w:rsidR="00F5131B">
        <w:rPr>
          <w:rFonts w:ascii="Times New Roman" w:hAnsi="Times New Roman" w:cs="Times New Roman"/>
          <w:sz w:val="24"/>
          <w:szCs w:val="24"/>
        </w:rPr>
        <w:t xml:space="preserve"> of attempting to make a valued contribution to </w:t>
      </w:r>
      <w:r w:rsidR="00F5131B">
        <w:rPr>
          <w:rFonts w:ascii="Times New Roman" w:hAnsi="Times New Roman" w:cs="Times New Roman"/>
          <w:sz w:val="24"/>
          <w:szCs w:val="24"/>
        </w:rPr>
        <w:lastRenderedPageBreak/>
        <w:t xml:space="preserve">the community. Further, </w:t>
      </w:r>
      <w:proofErr w:type="spellStart"/>
      <w:r w:rsidR="00F5131B">
        <w:rPr>
          <w:rFonts w:ascii="Times New Roman" w:hAnsi="Times New Roman" w:cs="Times New Roman"/>
          <w:sz w:val="24"/>
          <w:szCs w:val="24"/>
        </w:rPr>
        <w:t>Whariki</w:t>
      </w:r>
      <w:proofErr w:type="spellEnd"/>
      <w:r w:rsidR="00F5131B">
        <w:rPr>
          <w:rFonts w:ascii="Times New Roman" w:hAnsi="Times New Roman" w:cs="Times New Roman"/>
          <w:sz w:val="24"/>
          <w:szCs w:val="24"/>
        </w:rPr>
        <w:t xml:space="preserve"> (2017) interprets the idea of academic curriculum largely, indicating that it comprises of events, activities and experiences, both directly and indirectly that happen in various settings. Curriculum offers a framework of goals, principles, goals, strands and learning outcomes that base child learning besides emphasizing the need for reciprocal, respectful and responsive relationships.</w:t>
      </w:r>
      <w:r w:rsidR="0033068F">
        <w:rPr>
          <w:rFonts w:ascii="Times New Roman" w:hAnsi="Times New Roman" w:cs="Times New Roman"/>
          <w:sz w:val="24"/>
          <w:szCs w:val="24"/>
        </w:rPr>
        <w:t xml:space="preserve"> In addition, it seeks to offer the ground for all settings to weave the distinctive values and character for local curriculum. Currently, the children of New Zealand are developing and growing in a diverse environment that encompass individuals from a wide variety of ethnicities and cultures. </w:t>
      </w:r>
      <w:proofErr w:type="spellStart"/>
      <w:r w:rsidR="0033068F">
        <w:rPr>
          <w:rFonts w:ascii="Times New Roman" w:hAnsi="Times New Roman" w:cs="Times New Roman"/>
          <w:sz w:val="24"/>
          <w:szCs w:val="24"/>
        </w:rPr>
        <w:t>Whariki</w:t>
      </w:r>
      <w:proofErr w:type="spellEnd"/>
      <w:r w:rsidR="0033068F">
        <w:rPr>
          <w:rFonts w:ascii="Times New Roman" w:hAnsi="Times New Roman" w:cs="Times New Roman"/>
          <w:sz w:val="24"/>
          <w:szCs w:val="24"/>
        </w:rPr>
        <w:t xml:space="preserve"> (2017) supports children from diverse background who need to develop in strong cultures, language and identities. This is the reason why he acknowledges the </w:t>
      </w:r>
      <w:proofErr w:type="spellStart"/>
      <w:r w:rsidR="0033068F">
        <w:rPr>
          <w:rFonts w:ascii="Times New Roman" w:hAnsi="Times New Roman" w:cs="Times New Roman"/>
          <w:sz w:val="24"/>
          <w:szCs w:val="24"/>
        </w:rPr>
        <w:t>Pasifika</w:t>
      </w:r>
      <w:proofErr w:type="spellEnd"/>
      <w:r w:rsidR="0033068F">
        <w:rPr>
          <w:rFonts w:ascii="Times New Roman" w:hAnsi="Times New Roman" w:cs="Times New Roman"/>
          <w:sz w:val="24"/>
          <w:szCs w:val="24"/>
        </w:rPr>
        <w:t xml:space="preserve"> people and their educational inspirations because they derive their identities from the Island of Pacific that shares a rich history and connection with New Zealand.    </w:t>
      </w:r>
      <w:r w:rsidR="00F5131B">
        <w:rPr>
          <w:rFonts w:ascii="Times New Roman" w:hAnsi="Times New Roman" w:cs="Times New Roman"/>
          <w:sz w:val="24"/>
          <w:szCs w:val="24"/>
        </w:rPr>
        <w:t xml:space="preserve">   </w:t>
      </w:r>
      <w:r w:rsidR="000546C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A2C50" w:rsidRPr="00AA437D" w:rsidRDefault="005A2C50" w:rsidP="005A2C50">
      <w:pPr>
        <w:spacing w:line="480" w:lineRule="auto"/>
        <w:ind w:firstLine="720"/>
        <w:jc w:val="center"/>
        <w:rPr>
          <w:rFonts w:ascii="Times New Roman" w:hAnsi="Times New Roman" w:cs="Times New Roman"/>
          <w:b/>
          <w:sz w:val="24"/>
          <w:szCs w:val="24"/>
        </w:rPr>
      </w:pPr>
      <w:r w:rsidRPr="00AA437D">
        <w:rPr>
          <w:rFonts w:ascii="Times New Roman" w:hAnsi="Times New Roman" w:cs="Times New Roman"/>
          <w:b/>
          <w:sz w:val="24"/>
          <w:szCs w:val="24"/>
        </w:rPr>
        <w:t>Mathematics</w:t>
      </w:r>
    </w:p>
    <w:p w:rsidR="0040191E" w:rsidRDefault="00827838" w:rsidP="005A2C5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elementary curriculum of mathematics the fundamental concept is centered on number, particularly whole number. </w:t>
      </w:r>
      <w:r w:rsidR="00AA437D">
        <w:rPr>
          <w:rFonts w:ascii="Times New Roman" w:hAnsi="Times New Roman" w:cs="Times New Roman"/>
          <w:sz w:val="24"/>
          <w:szCs w:val="24"/>
        </w:rPr>
        <w:t xml:space="preserve">Learners need to gain a sense of the concept including how much is often taken for granted, by making an effort of defining a whole number. The main popular conception that involve whole numbers state4s that two sets have similar </w:t>
      </w:r>
      <w:r w:rsidR="00AA437D">
        <w:rPr>
          <w:rFonts w:ascii="Times New Roman" w:hAnsi="Times New Roman" w:cs="Times New Roman"/>
          <w:sz w:val="24"/>
          <w:szCs w:val="24"/>
        </w:rPr>
        <w:t>numerosity</w:t>
      </w:r>
      <w:r w:rsidR="00AA437D">
        <w:rPr>
          <w:rFonts w:ascii="Times New Roman" w:hAnsi="Times New Roman" w:cs="Times New Roman"/>
          <w:sz w:val="24"/>
          <w:szCs w:val="24"/>
        </w:rPr>
        <w:t>, only if each member set is paired with a similar member set</w:t>
      </w:r>
      <w:r w:rsidR="001A3E22">
        <w:rPr>
          <w:rFonts w:ascii="Times New Roman" w:hAnsi="Times New Roman" w:cs="Times New Roman"/>
          <w:sz w:val="24"/>
          <w:szCs w:val="24"/>
        </w:rPr>
        <w:t xml:space="preserve"> </w:t>
      </w:r>
      <w:r w:rsidR="001A3E22">
        <w:rPr>
          <w:rFonts w:ascii="Times New Roman" w:hAnsi="Times New Roman" w:cs="Times New Roman"/>
          <w:sz w:val="24"/>
          <w:szCs w:val="24"/>
        </w:rPr>
        <w:t xml:space="preserve"> (</w:t>
      </w:r>
      <w:proofErr w:type="spellStart"/>
      <w:r w:rsidR="001A3E22">
        <w:rPr>
          <w:rFonts w:ascii="Times New Roman" w:hAnsi="Times New Roman" w:cs="Times New Roman"/>
          <w:sz w:val="24"/>
          <w:szCs w:val="24"/>
        </w:rPr>
        <w:t>Whariki</w:t>
      </w:r>
      <w:proofErr w:type="spellEnd"/>
      <w:r w:rsidR="001A3E22">
        <w:rPr>
          <w:rFonts w:ascii="Times New Roman" w:hAnsi="Times New Roman" w:cs="Times New Roman"/>
          <w:sz w:val="24"/>
          <w:szCs w:val="24"/>
        </w:rPr>
        <w:t>, 2017)</w:t>
      </w:r>
      <w:r w:rsidR="00AA437D">
        <w:rPr>
          <w:rFonts w:ascii="Times New Roman" w:hAnsi="Times New Roman" w:cs="Times New Roman"/>
          <w:sz w:val="24"/>
          <w:szCs w:val="24"/>
        </w:rPr>
        <w:t xml:space="preserve">. A set is said to have a greater numerosity if the other member set is left out when pairing both, a definition often applied in New Zealand because it allows learners to decide if two sets contain similar number of items. Such abilities indicate that number is a critical component in the lives of children and how or whether such levels of sensitivity influence their mathematical development is yet to be </w:t>
      </w:r>
      <w:proofErr w:type="gramStart"/>
      <w:r w:rsidR="00AA437D">
        <w:rPr>
          <w:rFonts w:ascii="Times New Roman" w:hAnsi="Times New Roman" w:cs="Times New Roman"/>
          <w:sz w:val="24"/>
          <w:szCs w:val="24"/>
        </w:rPr>
        <w:t>proven</w:t>
      </w:r>
      <w:r w:rsidR="001A3E22">
        <w:rPr>
          <w:rFonts w:ascii="Times New Roman" w:hAnsi="Times New Roman" w:cs="Times New Roman"/>
          <w:sz w:val="24"/>
          <w:szCs w:val="24"/>
        </w:rPr>
        <w:t xml:space="preserve"> </w:t>
      </w:r>
      <w:r w:rsidR="001A3E22">
        <w:rPr>
          <w:rFonts w:ascii="Times New Roman" w:hAnsi="Times New Roman" w:cs="Times New Roman"/>
          <w:sz w:val="24"/>
          <w:szCs w:val="24"/>
        </w:rPr>
        <w:t xml:space="preserve"> (</w:t>
      </w:r>
      <w:proofErr w:type="spellStart"/>
      <w:proofErr w:type="gramEnd"/>
      <w:r w:rsidR="001A3E22">
        <w:rPr>
          <w:rFonts w:ascii="Times New Roman" w:hAnsi="Times New Roman" w:cs="Times New Roman"/>
          <w:sz w:val="24"/>
          <w:szCs w:val="24"/>
        </w:rPr>
        <w:t>Whariki</w:t>
      </w:r>
      <w:proofErr w:type="spellEnd"/>
      <w:r w:rsidR="001A3E22">
        <w:rPr>
          <w:rFonts w:ascii="Times New Roman" w:hAnsi="Times New Roman" w:cs="Times New Roman"/>
          <w:sz w:val="24"/>
          <w:szCs w:val="24"/>
        </w:rPr>
        <w:t>, 2017)</w:t>
      </w:r>
      <w:r w:rsidR="00AA437D">
        <w:rPr>
          <w:rFonts w:ascii="Times New Roman" w:hAnsi="Times New Roman" w:cs="Times New Roman"/>
          <w:sz w:val="24"/>
          <w:szCs w:val="24"/>
        </w:rPr>
        <w:t xml:space="preserve">.    </w:t>
      </w:r>
    </w:p>
    <w:p w:rsidR="005A2C50" w:rsidRPr="003430A7" w:rsidRDefault="0040191E" w:rsidP="0040191E">
      <w:pPr>
        <w:spacing w:line="480" w:lineRule="auto"/>
        <w:ind w:firstLine="720"/>
        <w:jc w:val="center"/>
        <w:rPr>
          <w:rFonts w:ascii="Times New Roman" w:hAnsi="Times New Roman" w:cs="Times New Roman"/>
          <w:b/>
          <w:sz w:val="24"/>
          <w:szCs w:val="24"/>
        </w:rPr>
      </w:pPr>
      <w:r w:rsidRPr="003430A7">
        <w:rPr>
          <w:rFonts w:ascii="Times New Roman" w:hAnsi="Times New Roman" w:cs="Times New Roman"/>
          <w:b/>
          <w:sz w:val="24"/>
          <w:szCs w:val="24"/>
        </w:rPr>
        <w:lastRenderedPageBreak/>
        <w:t>Science</w:t>
      </w:r>
    </w:p>
    <w:p w:rsidR="0010319A" w:rsidRDefault="0010319A" w:rsidP="0010319A">
      <w:pPr>
        <w:spacing w:line="480" w:lineRule="auto"/>
        <w:ind w:firstLine="720"/>
        <w:rPr>
          <w:rFonts w:ascii="Times New Roman" w:hAnsi="Times New Roman" w:cs="Times New Roman"/>
          <w:sz w:val="24"/>
          <w:szCs w:val="24"/>
        </w:rPr>
      </w:pPr>
      <w:r>
        <w:rPr>
          <w:rFonts w:ascii="Times New Roman" w:hAnsi="Times New Roman" w:cs="Times New Roman"/>
          <w:sz w:val="24"/>
          <w:szCs w:val="24"/>
        </w:rPr>
        <w:t>From birth, children are often introduced to the stimulate children to think about various scientific concept. Science education during early child education seek to promote and offer strong scientific knowledge by demonstrating how it should be learned and what should be learnt to enable children stand in good stead</w:t>
      </w:r>
      <w:r w:rsidR="001A3E22">
        <w:rPr>
          <w:rFonts w:ascii="Times New Roman" w:hAnsi="Times New Roman" w:cs="Times New Roman"/>
          <w:sz w:val="24"/>
          <w:szCs w:val="24"/>
        </w:rPr>
        <w:t xml:space="preserve"> </w:t>
      </w:r>
      <w:r w:rsidR="001A3E22">
        <w:rPr>
          <w:rFonts w:ascii="Times New Roman" w:hAnsi="Times New Roman" w:cs="Times New Roman"/>
          <w:sz w:val="24"/>
          <w:szCs w:val="24"/>
        </w:rPr>
        <w:t xml:space="preserve"> (</w:t>
      </w:r>
      <w:proofErr w:type="spellStart"/>
      <w:r w:rsidR="001A3E22">
        <w:rPr>
          <w:rFonts w:ascii="Times New Roman" w:hAnsi="Times New Roman" w:cs="Times New Roman"/>
          <w:sz w:val="24"/>
          <w:szCs w:val="24"/>
        </w:rPr>
        <w:t>Whariki</w:t>
      </w:r>
      <w:proofErr w:type="spellEnd"/>
      <w:r w:rsidR="001A3E22">
        <w:rPr>
          <w:rFonts w:ascii="Times New Roman" w:hAnsi="Times New Roman" w:cs="Times New Roman"/>
          <w:sz w:val="24"/>
          <w:szCs w:val="24"/>
        </w:rPr>
        <w:t>, 2017)</w:t>
      </w:r>
      <w:r>
        <w:rPr>
          <w:rFonts w:ascii="Times New Roman" w:hAnsi="Times New Roman" w:cs="Times New Roman"/>
          <w:sz w:val="24"/>
          <w:szCs w:val="24"/>
        </w:rPr>
        <w:t xml:space="preserve">. By directing and encouraging the natural curiosity of children, educators familiarize learners with uncomplicated scientific vocabulary. </w:t>
      </w:r>
      <w:r w:rsidR="00206956">
        <w:rPr>
          <w:rFonts w:ascii="Times New Roman" w:hAnsi="Times New Roman" w:cs="Times New Roman"/>
          <w:sz w:val="24"/>
          <w:szCs w:val="24"/>
        </w:rPr>
        <w:t>As</w:t>
      </w:r>
      <w:r>
        <w:rPr>
          <w:rFonts w:ascii="Times New Roman" w:hAnsi="Times New Roman" w:cs="Times New Roman"/>
          <w:sz w:val="24"/>
          <w:szCs w:val="24"/>
        </w:rPr>
        <w:t>, most children in New Jersey are able to make sense of their environment and the world through basic scientific concepts. This way, they are able to gain knowledge and understanding of how things function or work</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(Farguhar, 2019)</w:t>
      </w:r>
      <w:r>
        <w:rPr>
          <w:rFonts w:ascii="Times New Roman" w:hAnsi="Times New Roman" w:cs="Times New Roman"/>
          <w:sz w:val="24"/>
          <w:szCs w:val="24"/>
        </w:rPr>
        <w:t xml:space="preserve">.     </w:t>
      </w:r>
    </w:p>
    <w:p w:rsidR="00FB60BD" w:rsidRPr="0049697E" w:rsidRDefault="00FB60BD" w:rsidP="00FB60BD">
      <w:pPr>
        <w:spacing w:line="480" w:lineRule="auto"/>
        <w:ind w:firstLine="720"/>
        <w:jc w:val="center"/>
        <w:rPr>
          <w:rFonts w:ascii="Times New Roman" w:hAnsi="Times New Roman" w:cs="Times New Roman"/>
          <w:b/>
          <w:sz w:val="24"/>
          <w:szCs w:val="24"/>
        </w:rPr>
      </w:pPr>
      <w:r w:rsidRPr="0049697E">
        <w:rPr>
          <w:rFonts w:ascii="Times New Roman" w:hAnsi="Times New Roman" w:cs="Times New Roman"/>
          <w:b/>
          <w:sz w:val="24"/>
          <w:szCs w:val="24"/>
        </w:rPr>
        <w:t>Technology</w:t>
      </w:r>
    </w:p>
    <w:p w:rsidR="003F5E48" w:rsidRDefault="003F5E48" w:rsidP="00206956">
      <w:pPr>
        <w:spacing w:line="480" w:lineRule="auto"/>
        <w:ind w:firstLine="720"/>
        <w:rPr>
          <w:rFonts w:ascii="Times New Roman" w:hAnsi="Times New Roman" w:cs="Times New Roman"/>
          <w:sz w:val="24"/>
          <w:szCs w:val="24"/>
        </w:rPr>
      </w:pPr>
      <w:r>
        <w:rPr>
          <w:rFonts w:ascii="Times New Roman" w:hAnsi="Times New Roman" w:cs="Times New Roman"/>
          <w:sz w:val="24"/>
          <w:szCs w:val="24"/>
        </w:rPr>
        <w:t>A recent survey conducted in New Jersey suggested that nearly 90% of teachers in early childhood have gained access to technology in their learning environment</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Farguhar</w:t>
      </w:r>
      <w:r w:rsidR="00206956">
        <w:rPr>
          <w:rFonts w:ascii="Times New Roman" w:hAnsi="Times New Roman" w:cs="Times New Roman"/>
          <w:sz w:val="24"/>
          <w:szCs w:val="24"/>
        </w:rPr>
        <w:t>, 2019)</w:t>
      </w:r>
      <w:r>
        <w:rPr>
          <w:rFonts w:ascii="Times New Roman" w:hAnsi="Times New Roman" w:cs="Times New Roman"/>
          <w:sz w:val="24"/>
          <w:szCs w:val="24"/>
        </w:rPr>
        <w:t>. In fact, 80% of these teachers said that they make use of technological devises for a least one day in a week. Majority of teachers have attempted to integrate those technological devices during lesson planning on interactive whiteboards, desktops or tables because they enhance learning and teaching environment</w:t>
      </w:r>
      <w:r w:rsidR="00206956">
        <w:rPr>
          <w:rFonts w:ascii="Times New Roman" w:hAnsi="Times New Roman" w:cs="Times New Roman"/>
          <w:sz w:val="24"/>
          <w:szCs w:val="24"/>
        </w:rPr>
        <w:t xml:space="preserve"> </w:t>
      </w:r>
      <w:r w:rsidR="00206956">
        <w:rPr>
          <w:rFonts w:ascii="Times New Roman" w:hAnsi="Times New Roman" w:cs="Times New Roman"/>
          <w:sz w:val="24"/>
          <w:szCs w:val="24"/>
        </w:rPr>
        <w:t>(Frank, 2016)</w:t>
      </w:r>
      <w:r>
        <w:rPr>
          <w:rFonts w:ascii="Times New Roman" w:hAnsi="Times New Roman" w:cs="Times New Roman"/>
          <w:sz w:val="24"/>
          <w:szCs w:val="24"/>
        </w:rPr>
        <w:t xml:space="preserve"> </w:t>
      </w:r>
      <w:r w:rsidR="0049697E">
        <w:rPr>
          <w:rFonts w:ascii="Times New Roman" w:hAnsi="Times New Roman" w:cs="Times New Roman"/>
          <w:sz w:val="24"/>
          <w:szCs w:val="24"/>
        </w:rPr>
        <w:t xml:space="preserve">Technology is used during early child education to create strong and positive relationships between teachers and children. </w:t>
      </w:r>
    </w:p>
    <w:p w:rsidR="00A621B8" w:rsidRPr="003430A7" w:rsidRDefault="00A621B8" w:rsidP="00A621B8">
      <w:pPr>
        <w:spacing w:line="480" w:lineRule="auto"/>
        <w:ind w:firstLine="720"/>
        <w:jc w:val="center"/>
        <w:rPr>
          <w:rFonts w:ascii="Times New Roman" w:hAnsi="Times New Roman" w:cs="Times New Roman"/>
          <w:b/>
          <w:sz w:val="24"/>
          <w:szCs w:val="24"/>
        </w:rPr>
      </w:pPr>
      <w:r w:rsidRPr="003430A7">
        <w:rPr>
          <w:rFonts w:ascii="Times New Roman" w:hAnsi="Times New Roman" w:cs="Times New Roman"/>
          <w:b/>
          <w:sz w:val="24"/>
          <w:szCs w:val="24"/>
        </w:rPr>
        <w:t>Information Communication Technology</w:t>
      </w:r>
    </w:p>
    <w:p w:rsidR="00A621B8" w:rsidRDefault="00A621B8" w:rsidP="00A621B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key for any efficient learning during early childhood education for relationship building and interaction is through the use of communication technology. Technology enhances teachers’ identification of learning opportunities to enhance classroom learning by influencing child learning and development </w:t>
      </w:r>
      <w:r w:rsidR="001A3E22">
        <w:rPr>
          <w:rFonts w:ascii="Times New Roman" w:hAnsi="Times New Roman" w:cs="Times New Roman"/>
          <w:sz w:val="24"/>
          <w:szCs w:val="24"/>
        </w:rPr>
        <w:t>positively (</w:t>
      </w:r>
      <w:proofErr w:type="spellStart"/>
      <w:r w:rsidR="001A3E22">
        <w:rPr>
          <w:rFonts w:ascii="Times New Roman" w:hAnsi="Times New Roman" w:cs="Times New Roman"/>
          <w:sz w:val="24"/>
          <w:szCs w:val="24"/>
        </w:rPr>
        <w:t>Whariki</w:t>
      </w:r>
      <w:proofErr w:type="spellEnd"/>
      <w:r w:rsidR="001A3E22">
        <w:rPr>
          <w:rFonts w:ascii="Times New Roman" w:hAnsi="Times New Roman" w:cs="Times New Roman"/>
          <w:sz w:val="24"/>
          <w:szCs w:val="24"/>
        </w:rPr>
        <w:t>, 2017)</w:t>
      </w:r>
      <w:r>
        <w:rPr>
          <w:rFonts w:ascii="Times New Roman" w:hAnsi="Times New Roman" w:cs="Times New Roman"/>
          <w:sz w:val="24"/>
          <w:szCs w:val="24"/>
        </w:rPr>
        <w:t xml:space="preserve">. Early educators of New Zealand </w:t>
      </w:r>
      <w:r>
        <w:rPr>
          <w:rFonts w:ascii="Times New Roman" w:hAnsi="Times New Roman" w:cs="Times New Roman"/>
          <w:sz w:val="24"/>
          <w:szCs w:val="24"/>
        </w:rPr>
        <w:lastRenderedPageBreak/>
        <w:t>have often emphasized and encouraged the utilization of communication technological devises</w:t>
      </w:r>
      <w:r w:rsidR="003430A7">
        <w:rPr>
          <w:rFonts w:ascii="Times New Roman" w:hAnsi="Times New Roman" w:cs="Times New Roman"/>
          <w:sz w:val="24"/>
          <w:szCs w:val="24"/>
        </w:rPr>
        <w:t xml:space="preserve">. They argue that such a strategy will help teachers to develop more teaching skills to meet individual needs of </w:t>
      </w:r>
      <w:r w:rsidR="00206956">
        <w:rPr>
          <w:rFonts w:ascii="Times New Roman" w:hAnsi="Times New Roman" w:cs="Times New Roman"/>
          <w:sz w:val="24"/>
          <w:szCs w:val="24"/>
        </w:rPr>
        <w:t>learners (</w:t>
      </w:r>
      <w:proofErr w:type="spellStart"/>
      <w:r w:rsidR="001A3E22">
        <w:rPr>
          <w:rFonts w:ascii="Times New Roman" w:hAnsi="Times New Roman" w:cs="Times New Roman"/>
          <w:sz w:val="24"/>
          <w:szCs w:val="24"/>
        </w:rPr>
        <w:t>Whariki</w:t>
      </w:r>
      <w:proofErr w:type="spellEnd"/>
      <w:r w:rsidR="001A3E22">
        <w:rPr>
          <w:rFonts w:ascii="Times New Roman" w:hAnsi="Times New Roman" w:cs="Times New Roman"/>
          <w:sz w:val="24"/>
          <w:szCs w:val="24"/>
        </w:rPr>
        <w:t>, 2017)</w:t>
      </w:r>
      <w:r w:rsidR="003430A7">
        <w:rPr>
          <w:rFonts w:ascii="Times New Roman" w:hAnsi="Times New Roman" w:cs="Times New Roman"/>
          <w:sz w:val="24"/>
          <w:szCs w:val="24"/>
        </w:rPr>
        <w:t xml:space="preserve">. These are often used to enhance classroom interaction and to improve documentation of instructions and responses of individual learners to create an effective and warm teaching environment. Today, most teachers use communication tools which document interactive media for better lesson planning and documentation while share children progress with their parents.    </w:t>
      </w:r>
      <w:r>
        <w:rPr>
          <w:rFonts w:ascii="Times New Roman" w:hAnsi="Times New Roman" w:cs="Times New Roman"/>
          <w:sz w:val="24"/>
          <w:szCs w:val="24"/>
        </w:rPr>
        <w:t xml:space="preserve">   </w:t>
      </w:r>
    </w:p>
    <w:p w:rsidR="0033068F" w:rsidRDefault="0033068F" w:rsidP="00030DCC">
      <w:pPr>
        <w:spacing w:line="480" w:lineRule="auto"/>
        <w:rPr>
          <w:rFonts w:ascii="Times New Roman" w:hAnsi="Times New Roman" w:cs="Times New Roman"/>
          <w:sz w:val="24"/>
          <w:szCs w:val="24"/>
        </w:rPr>
      </w:pPr>
    </w:p>
    <w:p w:rsidR="00EB72F5" w:rsidRDefault="00EB72F5"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bookmarkStart w:id="0" w:name="_GoBack"/>
      <w:bookmarkEnd w:id="0"/>
    </w:p>
    <w:p w:rsidR="003430A7" w:rsidRPr="001A3E22" w:rsidRDefault="003430A7" w:rsidP="003430A7">
      <w:pPr>
        <w:spacing w:line="480" w:lineRule="auto"/>
        <w:jc w:val="center"/>
        <w:rPr>
          <w:rFonts w:ascii="Times New Roman" w:hAnsi="Times New Roman" w:cs="Times New Roman"/>
          <w:b/>
          <w:sz w:val="24"/>
          <w:szCs w:val="24"/>
        </w:rPr>
      </w:pPr>
      <w:r w:rsidRPr="001A3E22">
        <w:rPr>
          <w:rFonts w:ascii="Times New Roman" w:hAnsi="Times New Roman" w:cs="Times New Roman"/>
          <w:b/>
          <w:sz w:val="24"/>
          <w:szCs w:val="24"/>
        </w:rPr>
        <w:t>References</w:t>
      </w:r>
    </w:p>
    <w:p w:rsidR="001A3E22" w:rsidRDefault="001A3E22" w:rsidP="001A3E2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Farguhar. S.</w:t>
      </w:r>
      <w:r>
        <w:rPr>
          <w:rFonts w:ascii="Times New Roman" w:hAnsi="Times New Roman" w:cs="Times New Roman"/>
          <w:sz w:val="24"/>
          <w:szCs w:val="24"/>
        </w:rPr>
        <w:t xml:space="preserve"> (2019)</w:t>
      </w:r>
      <w:r>
        <w:rPr>
          <w:rFonts w:ascii="Times New Roman" w:hAnsi="Times New Roman" w:cs="Times New Roman"/>
          <w:sz w:val="24"/>
          <w:szCs w:val="24"/>
        </w:rPr>
        <w:t xml:space="preserve"> </w:t>
      </w:r>
      <w:proofErr w:type="spellStart"/>
      <w:r w:rsidRPr="001A3E22">
        <w:rPr>
          <w:rFonts w:ascii="Times New Roman" w:hAnsi="Times New Roman" w:cs="Times New Roman"/>
          <w:i/>
          <w:sz w:val="24"/>
          <w:szCs w:val="24"/>
        </w:rPr>
        <w:t>Ricour</w:t>
      </w:r>
      <w:proofErr w:type="spellEnd"/>
      <w:r w:rsidRPr="001A3E22">
        <w:rPr>
          <w:rFonts w:ascii="Times New Roman" w:hAnsi="Times New Roman" w:cs="Times New Roman"/>
          <w:i/>
          <w:sz w:val="24"/>
          <w:szCs w:val="24"/>
        </w:rPr>
        <w:t>, Identity and Early Childhood Education</w:t>
      </w:r>
      <w:r>
        <w:rPr>
          <w:rFonts w:ascii="Times New Roman" w:hAnsi="Times New Roman" w:cs="Times New Roman"/>
          <w:sz w:val="24"/>
          <w:szCs w:val="24"/>
        </w:rPr>
        <w:t xml:space="preserve">. Lanham. </w:t>
      </w:r>
      <w:proofErr w:type="spellStart"/>
      <w:r>
        <w:rPr>
          <w:rFonts w:ascii="Times New Roman" w:hAnsi="Times New Roman" w:cs="Times New Roman"/>
          <w:sz w:val="24"/>
          <w:szCs w:val="24"/>
        </w:rPr>
        <w:t>Rowman</w:t>
      </w:r>
      <w:proofErr w:type="spellEnd"/>
      <w:r>
        <w:rPr>
          <w:rFonts w:ascii="Times New Roman" w:hAnsi="Times New Roman" w:cs="Times New Roman"/>
          <w:sz w:val="24"/>
          <w:szCs w:val="24"/>
        </w:rPr>
        <w:t xml:space="preserve"> &amp; Littlefield Publication. </w:t>
      </w:r>
    </w:p>
    <w:p w:rsidR="001A3E22" w:rsidRDefault="001A3E22" w:rsidP="001A3E2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Frank S. (2016). </w:t>
      </w:r>
      <w:r w:rsidRPr="001A3E22">
        <w:rPr>
          <w:rFonts w:ascii="Times New Roman" w:hAnsi="Times New Roman" w:cs="Times New Roman"/>
          <w:i/>
          <w:sz w:val="24"/>
          <w:szCs w:val="24"/>
        </w:rPr>
        <w:t>Samoan in the New Zealand Curriculum</w:t>
      </w:r>
      <w:r>
        <w:rPr>
          <w:rFonts w:ascii="Times New Roman" w:hAnsi="Times New Roman" w:cs="Times New Roman"/>
          <w:sz w:val="24"/>
          <w:szCs w:val="24"/>
        </w:rPr>
        <w:t xml:space="preserve">. Wellington. Learning Media. </w:t>
      </w:r>
    </w:p>
    <w:p w:rsidR="001A3E22" w:rsidRDefault="001A3E22" w:rsidP="001A3E22">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Whariki</w:t>
      </w:r>
      <w:proofErr w:type="spellEnd"/>
      <w:r>
        <w:rPr>
          <w:rFonts w:ascii="Times New Roman" w:hAnsi="Times New Roman" w:cs="Times New Roman"/>
          <w:sz w:val="24"/>
          <w:szCs w:val="24"/>
        </w:rPr>
        <w:t xml:space="preserve"> T. (2017). </w:t>
      </w:r>
      <w:r w:rsidRPr="001A3E22">
        <w:rPr>
          <w:rFonts w:ascii="Times New Roman" w:hAnsi="Times New Roman" w:cs="Times New Roman"/>
          <w:i/>
          <w:sz w:val="24"/>
          <w:szCs w:val="24"/>
        </w:rPr>
        <w:t>New Zealand Curriculum for Early Childhood.</w:t>
      </w:r>
      <w:r>
        <w:rPr>
          <w:rFonts w:ascii="Times New Roman" w:hAnsi="Times New Roman" w:cs="Times New Roman"/>
          <w:sz w:val="24"/>
          <w:szCs w:val="24"/>
        </w:rPr>
        <w:t xml:space="preserve"> .NZ. Taylor Publication.</w:t>
      </w:r>
    </w:p>
    <w:p w:rsidR="001A3E22" w:rsidRDefault="001A3E22" w:rsidP="001A3E22">
      <w:pPr>
        <w:spacing w:line="480" w:lineRule="auto"/>
        <w:ind w:left="720" w:hanging="720"/>
        <w:rPr>
          <w:rFonts w:ascii="Times New Roman" w:hAnsi="Times New Roman" w:cs="Times New Roman"/>
          <w:sz w:val="24"/>
          <w:szCs w:val="24"/>
        </w:rPr>
      </w:pPr>
    </w:p>
    <w:p w:rsidR="001A3E22" w:rsidRDefault="001A3E22" w:rsidP="001A3E22">
      <w:pPr>
        <w:spacing w:line="480" w:lineRule="auto"/>
        <w:ind w:left="720" w:hanging="720"/>
        <w:rPr>
          <w:rFonts w:ascii="Times New Roman" w:hAnsi="Times New Roman" w:cs="Times New Roman"/>
          <w:sz w:val="24"/>
          <w:szCs w:val="24"/>
        </w:rPr>
      </w:pPr>
    </w:p>
    <w:p w:rsidR="001A3E22" w:rsidRDefault="001A3E22" w:rsidP="001A3E2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1A3E22" w:rsidRDefault="001A3E22" w:rsidP="001A3E22">
      <w:pPr>
        <w:spacing w:line="480" w:lineRule="auto"/>
        <w:ind w:left="720" w:hanging="720"/>
        <w:rPr>
          <w:rFonts w:ascii="Times New Roman" w:hAnsi="Times New Roman" w:cs="Times New Roman"/>
          <w:sz w:val="24"/>
          <w:szCs w:val="24"/>
        </w:rPr>
      </w:pPr>
    </w:p>
    <w:p w:rsidR="00F6796A" w:rsidRDefault="00F6796A" w:rsidP="00F6796A">
      <w:pPr>
        <w:spacing w:line="480" w:lineRule="auto"/>
        <w:ind w:left="720" w:hanging="720"/>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3430A7">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3430A7" w:rsidRDefault="003430A7" w:rsidP="00030DCC">
      <w:pPr>
        <w:spacing w:line="480" w:lineRule="auto"/>
        <w:rPr>
          <w:rFonts w:ascii="Times New Roman" w:hAnsi="Times New Roman" w:cs="Times New Roman"/>
          <w:sz w:val="24"/>
          <w:szCs w:val="24"/>
        </w:rPr>
      </w:pPr>
    </w:p>
    <w:p w:rsidR="00EB72F5" w:rsidRDefault="00EB72F5" w:rsidP="00030DCC">
      <w:pPr>
        <w:spacing w:line="480" w:lineRule="auto"/>
        <w:rPr>
          <w:rFonts w:ascii="Times New Roman" w:hAnsi="Times New Roman" w:cs="Times New Roman"/>
          <w:sz w:val="24"/>
          <w:szCs w:val="24"/>
        </w:rPr>
      </w:pPr>
    </w:p>
    <w:p w:rsidR="00EB72F5" w:rsidRDefault="00EB72F5" w:rsidP="00030DCC">
      <w:pPr>
        <w:spacing w:line="480" w:lineRule="auto"/>
        <w:rPr>
          <w:rFonts w:ascii="Times New Roman" w:hAnsi="Times New Roman" w:cs="Times New Roman"/>
          <w:sz w:val="24"/>
          <w:szCs w:val="24"/>
        </w:rPr>
      </w:pPr>
    </w:p>
    <w:p w:rsidR="00EB72F5" w:rsidRDefault="00EB72F5" w:rsidP="00030DCC">
      <w:pPr>
        <w:spacing w:line="480" w:lineRule="auto"/>
        <w:rPr>
          <w:rFonts w:ascii="Times New Roman" w:hAnsi="Times New Roman" w:cs="Times New Roman"/>
          <w:sz w:val="24"/>
          <w:szCs w:val="24"/>
        </w:rPr>
      </w:pPr>
    </w:p>
    <w:p w:rsidR="00EB72F5" w:rsidRPr="00030DCC" w:rsidRDefault="00EB72F5" w:rsidP="00030DCC">
      <w:pPr>
        <w:spacing w:line="480" w:lineRule="auto"/>
        <w:rPr>
          <w:rFonts w:ascii="Times New Roman" w:hAnsi="Times New Roman" w:cs="Times New Roman"/>
          <w:sz w:val="24"/>
          <w:szCs w:val="24"/>
        </w:rPr>
      </w:pPr>
    </w:p>
    <w:sectPr w:rsidR="00EB72F5" w:rsidRPr="00030DC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B5E" w:rsidRDefault="00332B5E" w:rsidP="00F820A4">
      <w:pPr>
        <w:spacing w:after="0" w:line="240" w:lineRule="auto"/>
      </w:pPr>
      <w:r>
        <w:separator/>
      </w:r>
    </w:p>
  </w:endnote>
  <w:endnote w:type="continuationSeparator" w:id="0">
    <w:p w:rsidR="00332B5E" w:rsidRDefault="00332B5E" w:rsidP="00F8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B5E" w:rsidRDefault="00332B5E" w:rsidP="00F820A4">
      <w:pPr>
        <w:spacing w:after="0" w:line="240" w:lineRule="auto"/>
      </w:pPr>
      <w:r>
        <w:separator/>
      </w:r>
    </w:p>
  </w:footnote>
  <w:footnote w:type="continuationSeparator" w:id="0">
    <w:p w:rsidR="00332B5E" w:rsidRDefault="00332B5E" w:rsidP="00F82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495184"/>
      <w:docPartObj>
        <w:docPartGallery w:val="Page Numbers (Top of Page)"/>
        <w:docPartUnique/>
      </w:docPartObj>
    </w:sdtPr>
    <w:sdtEndPr>
      <w:rPr>
        <w:noProof/>
      </w:rPr>
    </w:sdtEndPr>
    <w:sdtContent>
      <w:p w:rsidR="00F820A4" w:rsidRDefault="00F820A4">
        <w:pPr>
          <w:pStyle w:val="Header"/>
          <w:jc w:val="right"/>
        </w:pPr>
        <w:r>
          <w:fldChar w:fldCharType="begin"/>
        </w:r>
        <w:r>
          <w:instrText xml:space="preserve"> PAGE   \* MERGEFORMAT </w:instrText>
        </w:r>
        <w:r>
          <w:fldChar w:fldCharType="separate"/>
        </w:r>
        <w:r w:rsidR="00206956">
          <w:rPr>
            <w:noProof/>
          </w:rPr>
          <w:t>9</w:t>
        </w:r>
        <w:r>
          <w:rPr>
            <w:noProof/>
          </w:rPr>
          <w:fldChar w:fldCharType="end"/>
        </w:r>
      </w:p>
    </w:sdtContent>
  </w:sdt>
  <w:p w:rsidR="00F820A4" w:rsidRDefault="00F820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54B1F"/>
    <w:multiLevelType w:val="multilevel"/>
    <w:tmpl w:val="53DA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CC"/>
    <w:rsid w:val="000130A1"/>
    <w:rsid w:val="00030DCC"/>
    <w:rsid w:val="000546CF"/>
    <w:rsid w:val="0010319A"/>
    <w:rsid w:val="001106C0"/>
    <w:rsid w:val="00110969"/>
    <w:rsid w:val="001A3E22"/>
    <w:rsid w:val="001F32E7"/>
    <w:rsid w:val="00206956"/>
    <w:rsid w:val="00285A89"/>
    <w:rsid w:val="003242FF"/>
    <w:rsid w:val="0033068F"/>
    <w:rsid w:val="00332B5E"/>
    <w:rsid w:val="003430A7"/>
    <w:rsid w:val="003849E5"/>
    <w:rsid w:val="003F58ED"/>
    <w:rsid w:val="003F5E48"/>
    <w:rsid w:val="0040191E"/>
    <w:rsid w:val="0049697E"/>
    <w:rsid w:val="004F2291"/>
    <w:rsid w:val="004F35CC"/>
    <w:rsid w:val="005156C0"/>
    <w:rsid w:val="005A2C50"/>
    <w:rsid w:val="0065201A"/>
    <w:rsid w:val="00652984"/>
    <w:rsid w:val="006D29A3"/>
    <w:rsid w:val="006E5AFB"/>
    <w:rsid w:val="0074451C"/>
    <w:rsid w:val="00797D7C"/>
    <w:rsid w:val="008104BB"/>
    <w:rsid w:val="00827838"/>
    <w:rsid w:val="00855D0F"/>
    <w:rsid w:val="008E029F"/>
    <w:rsid w:val="009425AC"/>
    <w:rsid w:val="00955513"/>
    <w:rsid w:val="00A621B8"/>
    <w:rsid w:val="00AA437D"/>
    <w:rsid w:val="00AF634A"/>
    <w:rsid w:val="00B514F2"/>
    <w:rsid w:val="00B635FD"/>
    <w:rsid w:val="00B82C53"/>
    <w:rsid w:val="00BE5EE8"/>
    <w:rsid w:val="00C70E3D"/>
    <w:rsid w:val="00DF2220"/>
    <w:rsid w:val="00E45ABE"/>
    <w:rsid w:val="00EB72F5"/>
    <w:rsid w:val="00F469FF"/>
    <w:rsid w:val="00F5131B"/>
    <w:rsid w:val="00F6796A"/>
    <w:rsid w:val="00F820A4"/>
    <w:rsid w:val="00FB6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4ABB4-79FA-4DDD-9D0C-4BD330E5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F32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1096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6796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
    <w:name w:val="comp"/>
    <w:basedOn w:val="Normal"/>
    <w:rsid w:val="00030D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2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0A4"/>
  </w:style>
  <w:style w:type="paragraph" w:styleId="Footer">
    <w:name w:val="footer"/>
    <w:basedOn w:val="Normal"/>
    <w:link w:val="FooterChar"/>
    <w:uiPriority w:val="99"/>
    <w:unhideWhenUsed/>
    <w:rsid w:val="00F82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0A4"/>
  </w:style>
  <w:style w:type="character" w:styleId="Hyperlink">
    <w:name w:val="Hyperlink"/>
    <w:basedOn w:val="DefaultParagraphFont"/>
    <w:uiPriority w:val="99"/>
    <w:semiHidden/>
    <w:unhideWhenUsed/>
    <w:rsid w:val="004F35CC"/>
    <w:rPr>
      <w:color w:val="0000FF"/>
      <w:u w:val="single"/>
    </w:rPr>
  </w:style>
  <w:style w:type="character" w:customStyle="1" w:styleId="Heading2Char">
    <w:name w:val="Heading 2 Char"/>
    <w:basedOn w:val="DefaultParagraphFont"/>
    <w:link w:val="Heading2"/>
    <w:uiPriority w:val="9"/>
    <w:rsid w:val="001F32E7"/>
    <w:rPr>
      <w:rFonts w:ascii="Times New Roman" w:eastAsia="Times New Roman" w:hAnsi="Times New Roman" w:cs="Times New Roman"/>
      <w:b/>
      <w:bCs/>
      <w:sz w:val="36"/>
      <w:szCs w:val="36"/>
    </w:rPr>
  </w:style>
  <w:style w:type="character" w:customStyle="1" w:styleId="mntl-sc-block-headingtext">
    <w:name w:val="mntl-sc-block-heading__text"/>
    <w:basedOn w:val="DefaultParagraphFont"/>
    <w:rsid w:val="001F32E7"/>
  </w:style>
  <w:style w:type="paragraph" w:styleId="NormalWeb">
    <w:name w:val="Normal (Web)"/>
    <w:basedOn w:val="Normal"/>
    <w:uiPriority w:val="99"/>
    <w:semiHidden/>
    <w:unhideWhenUsed/>
    <w:rsid w:val="001F32E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F32E7"/>
    <w:rPr>
      <w:i/>
      <w:iCs/>
    </w:rPr>
  </w:style>
  <w:style w:type="character" w:customStyle="1" w:styleId="mntl-inline-citation">
    <w:name w:val="mntl-inline-citation"/>
    <w:basedOn w:val="DefaultParagraphFont"/>
    <w:rsid w:val="001F32E7"/>
  </w:style>
  <w:style w:type="character" w:customStyle="1" w:styleId="Heading4Char">
    <w:name w:val="Heading 4 Char"/>
    <w:basedOn w:val="DefaultParagraphFont"/>
    <w:link w:val="Heading4"/>
    <w:uiPriority w:val="9"/>
    <w:semiHidden/>
    <w:rsid w:val="00110969"/>
    <w:rPr>
      <w:rFonts w:asciiTheme="majorHAnsi" w:eastAsiaTheme="majorEastAsia" w:hAnsiTheme="majorHAnsi" w:cstheme="majorBidi"/>
      <w:i/>
      <w:iCs/>
      <w:color w:val="2E74B5" w:themeColor="accent1" w:themeShade="BF"/>
    </w:rPr>
  </w:style>
  <w:style w:type="paragraph" w:customStyle="1" w:styleId="bodytextfp">
    <w:name w:val="bodytextfp"/>
    <w:basedOn w:val="Normal"/>
    <w:rsid w:val="005A2C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5A2C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F6796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69439">
      <w:bodyDiv w:val="1"/>
      <w:marLeft w:val="0"/>
      <w:marRight w:val="0"/>
      <w:marTop w:val="0"/>
      <w:marBottom w:val="0"/>
      <w:divBdr>
        <w:top w:val="none" w:sz="0" w:space="0" w:color="auto"/>
        <w:left w:val="none" w:sz="0" w:space="0" w:color="auto"/>
        <w:bottom w:val="none" w:sz="0" w:space="0" w:color="auto"/>
        <w:right w:val="none" w:sz="0" w:space="0" w:color="auto"/>
      </w:divBdr>
      <w:divsChild>
        <w:div w:id="733090831">
          <w:marLeft w:val="0"/>
          <w:marRight w:val="0"/>
          <w:marTop w:val="0"/>
          <w:marBottom w:val="0"/>
          <w:divBdr>
            <w:top w:val="none" w:sz="0" w:space="0" w:color="auto"/>
            <w:left w:val="single" w:sz="36" w:space="0" w:color="2EBE7E"/>
            <w:bottom w:val="none" w:sz="0" w:space="0" w:color="auto"/>
            <w:right w:val="none" w:sz="0" w:space="0" w:color="auto"/>
          </w:divBdr>
          <w:divsChild>
            <w:div w:id="15249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8805">
      <w:bodyDiv w:val="1"/>
      <w:marLeft w:val="0"/>
      <w:marRight w:val="0"/>
      <w:marTop w:val="0"/>
      <w:marBottom w:val="0"/>
      <w:divBdr>
        <w:top w:val="none" w:sz="0" w:space="0" w:color="auto"/>
        <w:left w:val="none" w:sz="0" w:space="0" w:color="auto"/>
        <w:bottom w:val="none" w:sz="0" w:space="0" w:color="auto"/>
        <w:right w:val="none" w:sz="0" w:space="0" w:color="auto"/>
      </w:divBdr>
    </w:div>
    <w:div w:id="776875569">
      <w:bodyDiv w:val="1"/>
      <w:marLeft w:val="0"/>
      <w:marRight w:val="0"/>
      <w:marTop w:val="0"/>
      <w:marBottom w:val="0"/>
      <w:divBdr>
        <w:top w:val="none" w:sz="0" w:space="0" w:color="auto"/>
        <w:left w:val="none" w:sz="0" w:space="0" w:color="auto"/>
        <w:bottom w:val="none" w:sz="0" w:space="0" w:color="auto"/>
        <w:right w:val="none" w:sz="0" w:space="0" w:color="auto"/>
      </w:divBdr>
    </w:div>
    <w:div w:id="912810620">
      <w:bodyDiv w:val="1"/>
      <w:marLeft w:val="0"/>
      <w:marRight w:val="0"/>
      <w:marTop w:val="0"/>
      <w:marBottom w:val="0"/>
      <w:divBdr>
        <w:top w:val="none" w:sz="0" w:space="0" w:color="auto"/>
        <w:left w:val="none" w:sz="0" w:space="0" w:color="auto"/>
        <w:bottom w:val="none" w:sz="0" w:space="0" w:color="auto"/>
        <w:right w:val="none" w:sz="0" w:space="0" w:color="auto"/>
      </w:divBdr>
    </w:div>
    <w:div w:id="1007639117">
      <w:bodyDiv w:val="1"/>
      <w:marLeft w:val="0"/>
      <w:marRight w:val="0"/>
      <w:marTop w:val="0"/>
      <w:marBottom w:val="0"/>
      <w:divBdr>
        <w:top w:val="none" w:sz="0" w:space="0" w:color="auto"/>
        <w:left w:val="none" w:sz="0" w:space="0" w:color="auto"/>
        <w:bottom w:val="none" w:sz="0" w:space="0" w:color="auto"/>
        <w:right w:val="none" w:sz="0" w:space="0" w:color="auto"/>
      </w:divBdr>
    </w:div>
    <w:div w:id="1041858211">
      <w:bodyDiv w:val="1"/>
      <w:marLeft w:val="0"/>
      <w:marRight w:val="0"/>
      <w:marTop w:val="0"/>
      <w:marBottom w:val="0"/>
      <w:divBdr>
        <w:top w:val="none" w:sz="0" w:space="0" w:color="auto"/>
        <w:left w:val="none" w:sz="0" w:space="0" w:color="auto"/>
        <w:bottom w:val="none" w:sz="0" w:space="0" w:color="auto"/>
        <w:right w:val="none" w:sz="0" w:space="0" w:color="auto"/>
      </w:divBdr>
    </w:div>
    <w:div w:id="1217815133">
      <w:bodyDiv w:val="1"/>
      <w:marLeft w:val="0"/>
      <w:marRight w:val="0"/>
      <w:marTop w:val="0"/>
      <w:marBottom w:val="0"/>
      <w:divBdr>
        <w:top w:val="none" w:sz="0" w:space="0" w:color="auto"/>
        <w:left w:val="none" w:sz="0" w:space="0" w:color="auto"/>
        <w:bottom w:val="none" w:sz="0" w:space="0" w:color="auto"/>
        <w:right w:val="none" w:sz="0" w:space="0" w:color="auto"/>
      </w:divBdr>
    </w:div>
    <w:div w:id="1270046017">
      <w:bodyDiv w:val="1"/>
      <w:marLeft w:val="0"/>
      <w:marRight w:val="0"/>
      <w:marTop w:val="0"/>
      <w:marBottom w:val="0"/>
      <w:divBdr>
        <w:top w:val="none" w:sz="0" w:space="0" w:color="auto"/>
        <w:left w:val="none" w:sz="0" w:space="0" w:color="auto"/>
        <w:bottom w:val="none" w:sz="0" w:space="0" w:color="auto"/>
        <w:right w:val="none" w:sz="0" w:space="0" w:color="auto"/>
      </w:divBdr>
    </w:div>
    <w:div w:id="1467814205">
      <w:bodyDiv w:val="1"/>
      <w:marLeft w:val="0"/>
      <w:marRight w:val="0"/>
      <w:marTop w:val="0"/>
      <w:marBottom w:val="0"/>
      <w:divBdr>
        <w:top w:val="none" w:sz="0" w:space="0" w:color="auto"/>
        <w:left w:val="none" w:sz="0" w:space="0" w:color="auto"/>
        <w:bottom w:val="none" w:sz="0" w:space="0" w:color="auto"/>
        <w:right w:val="none" w:sz="0" w:space="0" w:color="auto"/>
      </w:divBdr>
    </w:div>
    <w:div w:id="1603220832">
      <w:bodyDiv w:val="1"/>
      <w:marLeft w:val="0"/>
      <w:marRight w:val="0"/>
      <w:marTop w:val="0"/>
      <w:marBottom w:val="0"/>
      <w:divBdr>
        <w:top w:val="none" w:sz="0" w:space="0" w:color="auto"/>
        <w:left w:val="none" w:sz="0" w:space="0" w:color="auto"/>
        <w:bottom w:val="none" w:sz="0" w:space="0" w:color="auto"/>
        <w:right w:val="none" w:sz="0" w:space="0" w:color="auto"/>
      </w:divBdr>
    </w:div>
    <w:div w:id="1750541834">
      <w:bodyDiv w:val="1"/>
      <w:marLeft w:val="0"/>
      <w:marRight w:val="0"/>
      <w:marTop w:val="0"/>
      <w:marBottom w:val="0"/>
      <w:divBdr>
        <w:top w:val="none" w:sz="0" w:space="0" w:color="auto"/>
        <w:left w:val="none" w:sz="0" w:space="0" w:color="auto"/>
        <w:bottom w:val="none" w:sz="0" w:space="0" w:color="auto"/>
        <w:right w:val="none" w:sz="0" w:space="0" w:color="auto"/>
      </w:divBdr>
    </w:div>
    <w:div w:id="2041512965">
      <w:bodyDiv w:val="1"/>
      <w:marLeft w:val="0"/>
      <w:marRight w:val="0"/>
      <w:marTop w:val="0"/>
      <w:marBottom w:val="0"/>
      <w:divBdr>
        <w:top w:val="none" w:sz="0" w:space="0" w:color="auto"/>
        <w:left w:val="none" w:sz="0" w:space="0" w:color="auto"/>
        <w:bottom w:val="none" w:sz="0" w:space="0" w:color="auto"/>
        <w:right w:val="none" w:sz="0" w:space="0" w:color="auto"/>
      </w:divBdr>
    </w:div>
    <w:div w:id="212214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10</Pages>
  <Words>1790</Words>
  <Characters>10206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Kithinji</dc:creator>
  <cp:keywords/>
  <dc:description/>
  <cp:lastModifiedBy>Kithinji</cp:lastModifiedBy>
  <cp:revision>37</cp:revision>
  <dcterms:created xsi:type="dcterms:W3CDTF">2021-09-11T07:55:00Z</dcterms:created>
  <dcterms:modified xsi:type="dcterms:W3CDTF">2021-09-11T13:37:00Z</dcterms:modified>
</cp:coreProperties>
</file>